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spacing w:lineRule="auto" w:line="252"/>
        <w:rPr>
          <w:rFonts w:ascii="Arial" w:hAnsi="Arial" w:eastAsia="Calibri" w:cs="Arial"/>
          <w:b/>
          <w:b/>
          <w:bCs/>
          <w:sz w:val="22"/>
          <w:szCs w:val="22"/>
        </w:rPr>
      </w:pPr>
      <w:r>
        <w:rPr>
          <w:rFonts w:eastAsia="Calibri" w:cs="Arial" w:ascii="Arial" w:hAnsi="Arial"/>
          <w:b/>
          <w:bCs/>
          <w:sz w:val="22"/>
          <w:szCs w:val="22"/>
        </w:rPr>
        <w:drawing>
          <wp:anchor behindDoc="0" distT="0" distB="0" distL="0" distR="0" simplePos="0" locked="0" layoutInCell="0" allowOverlap="1" relativeHeight="2">
            <wp:simplePos x="0" y="0"/>
            <wp:positionH relativeFrom="column">
              <wp:posOffset>830580</wp:posOffset>
            </wp:positionH>
            <wp:positionV relativeFrom="paragraph">
              <wp:posOffset>-108585</wp:posOffset>
            </wp:positionV>
            <wp:extent cx="5017135" cy="202438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5017135" cy="2024380"/>
                    </a:xfrm>
                    <a:prstGeom prst="rect">
                      <a:avLst/>
                    </a:prstGeom>
                  </pic:spPr>
                </pic:pic>
              </a:graphicData>
            </a:graphic>
          </wp:anchor>
        </w:drawing>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center"/>
        <w:rPr>
          <w:rFonts w:ascii="Arial" w:hAnsi="Arial" w:cs="Arial"/>
          <w:b/>
          <w:b/>
          <w:sz w:val="28"/>
          <w:szCs w:val="28"/>
        </w:rPr>
      </w:pPr>
      <w:r>
        <w:rPr>
          <w:rFonts w:cs="Arial" w:ascii="Arial" w:hAnsi="Arial"/>
          <w:b/>
          <w:sz w:val="28"/>
          <w:szCs w:val="28"/>
        </w:rPr>
        <w:t>Informativa sul trattamento dei dati personali ai sensi degli art. 13 e 14, Regolamento UE 2016/679 (Regolamento Generale sulla Protezione dei Dati, “RGPD”)</w:t>
      </w:r>
    </w:p>
    <w:p>
      <w:pPr>
        <w:pStyle w:val="Normal"/>
        <w:spacing w:lineRule="auto" w:line="252" w:before="0" w:after="160"/>
        <w:jc w:val="center"/>
        <w:rPr>
          <w:rFonts w:ascii="Arial" w:hAnsi="Arial" w:cs="Arial"/>
          <w:b/>
          <w:b/>
          <w:sz w:val="28"/>
          <w:szCs w:val="28"/>
        </w:rPr>
      </w:pPr>
      <w:r>
        <w:rPr>
          <w:rFonts w:cs="Arial" w:ascii="Arial" w:hAnsi="Arial"/>
          <w:b/>
          <w:sz w:val="28"/>
          <w:szCs w:val="28"/>
        </w:rPr>
      </w:r>
    </w:p>
    <w:p>
      <w:pPr>
        <w:pStyle w:val="Normal"/>
        <w:spacing w:lineRule="auto" w:line="252" w:before="0" w:after="160"/>
        <w:jc w:val="both"/>
        <w:rPr>
          <w:rFonts w:ascii="Arial" w:hAnsi="Arial" w:cs="Arial"/>
          <w:sz w:val="22"/>
          <w:szCs w:val="22"/>
          <w:u w:val="none" w:color="231F20"/>
        </w:rPr>
      </w:pPr>
      <w:r>
        <w:rPr>
          <w:rFonts w:cs="Arial" w:ascii="Arial" w:hAnsi="Arial"/>
          <w:sz w:val="22"/>
          <w:szCs w:val="22"/>
          <w:u w:val="none" w:color="231F20"/>
        </w:rPr>
        <w:t>Le Farmacie Comunali, ai sensi della normativa vigente, erogano un servizio pubblico, mediante diverse attività offerte all’utenza, quali, a titolo esemplificativo e non esaustivo:</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vendere beni;</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accedere al Fascicolo Sanitario Elettronico per scaricare e stampare i referti e le ricette dematerializzate, predisporre il dossier farmaceutico dell’interessato, contenente l’elenco degli acquisti effettuati presso la farmacia per finalità sanitarie;</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consultare in tempo reale il foglio informativo della terapia farmacologica prescritta o erogata al paziente, allergie e reazioni avverse ai farmaci;</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raccogliere le ricette ed inviarle ad operatori terzi per la gestione della tariffazione, nonché consegnare altra documentazione medica;</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gestire le prescrizioni afferenti agli stupefacenti, con tenuta del relativo registro;</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gestire le preparazioni galeniche con tenuta del relativo registro;</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noleggiare apparecchiature medico – sanitarie;</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gestire ordini al momento non disponibili presso la farmacia;</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prenotare i servizi offerti, nonché prestazioni sanitarie (visite, esami, vaccini) ed effettuare consegne a domicilio;</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fornire servizi vari quali, ad esempio, Holter cardiaco, Holter Pressorio, Elettrocardiogramma, Noleggio Tiralatte, Noleggio bilancia pesa bambini, Auto-analisi del sangue, Misurazione della pressione, Prenotazione CUP, Test dell’udito, foratura orecchio, fornitura di bombole di ossigeno, ecc.;</w:t>
      </w:r>
    </w:p>
    <w:p>
      <w:pPr>
        <w:pStyle w:val="ListParagraph"/>
        <w:numPr>
          <w:ilvl w:val="0"/>
          <w:numId w:val="2"/>
        </w:numPr>
        <w:spacing w:lineRule="auto" w:line="252" w:before="0" w:after="160"/>
        <w:contextualSpacing/>
        <w:jc w:val="both"/>
        <w:rPr>
          <w:rFonts w:ascii="Arial" w:hAnsi="Arial" w:cs="Arial"/>
          <w:sz w:val="22"/>
          <w:szCs w:val="22"/>
          <w:u w:val="none" w:color="231F20"/>
        </w:rPr>
      </w:pPr>
      <w:r>
        <w:rPr>
          <w:rFonts w:cs="Arial" w:ascii="Arial" w:hAnsi="Arial"/>
          <w:sz w:val="22"/>
          <w:szCs w:val="22"/>
          <w:u w:val="none" w:color="231F20"/>
        </w:rPr>
        <w:t>consentire lo scambio di messaggi tra la farmacia e gli interessati, per rispondere alle informazioni richieste, per consigliare e prenotare farmaci, tramite posta elettronica, piattaforme social e strumenti di messaggistica istantanea.</w:t>
      </w:r>
    </w:p>
    <w:p>
      <w:pPr>
        <w:pStyle w:val="Normal"/>
        <w:spacing w:lineRule="auto" w:line="252" w:before="0" w:after="160"/>
        <w:jc w:val="both"/>
        <w:rPr>
          <w:rFonts w:ascii="Arial" w:hAnsi="Arial" w:cs="Arial"/>
          <w:sz w:val="22"/>
          <w:szCs w:val="22"/>
          <w:u w:val="none" w:color="231F20"/>
        </w:rPr>
      </w:pPr>
      <w:r>
        <w:rPr>
          <w:rFonts w:cs="Arial" w:ascii="Arial" w:hAnsi="Arial"/>
          <w:sz w:val="22"/>
          <w:szCs w:val="22"/>
          <w:u w:val="none" w:color="231F20"/>
        </w:rPr>
        <w:t>In taluni casi, tali servizi comportano un trattamento di dati personali da parte delle stesse, pertanto, in ossequio alla normativa vigente in materia</w:t>
      </w:r>
      <w:r>
        <w:rPr>
          <w:rFonts w:cs="Arial" w:ascii="Arial" w:hAnsi="Arial"/>
          <w:sz w:val="22"/>
          <w:szCs w:val="22"/>
        </w:rPr>
        <w:t xml:space="preserve"> di protezione dei dati personali</w:t>
      </w:r>
      <w:r>
        <w:rPr>
          <w:rFonts w:cs="Arial" w:ascii="Arial" w:hAnsi="Arial"/>
          <w:sz w:val="22"/>
          <w:szCs w:val="22"/>
          <w:u w:val="none" w:color="231F20"/>
        </w:rPr>
        <w:t>, il Comune di Magenta, in qualità di titolare del trattamento dei dati, intende rilasciare le informazioni seguenti.</w:t>
      </w:r>
    </w:p>
    <w:p>
      <w:pPr>
        <w:pStyle w:val="Normal"/>
        <w:spacing w:lineRule="auto" w:line="252" w:before="0" w:after="160"/>
        <w:jc w:val="both"/>
        <w:rPr>
          <w:rFonts w:ascii="Arial" w:hAnsi="Arial" w:cs="Arial"/>
          <w:u w:val="none" w:color="231F20"/>
        </w:rPr>
      </w:pPr>
      <w:r>
        <w:rPr>
          <w:rFonts w:cs="Arial" w:ascii="Arial" w:hAnsi="Arial"/>
          <w:u w:val="none" w:color="231F20"/>
        </w:rPr>
      </w:r>
    </w:p>
    <w:p>
      <w:pPr>
        <w:pStyle w:val="Normal"/>
        <w:spacing w:lineRule="auto" w:line="252" w:before="0" w:after="160"/>
        <w:jc w:val="both"/>
        <w:rPr>
          <w:rFonts w:ascii="Arial" w:hAnsi="Arial" w:cs="Arial"/>
          <w:u w:val="none" w:color="231F20"/>
        </w:rPr>
      </w:pPr>
      <w:r>
        <w:rPr>
          <w:rFonts w:cs="Arial" w:ascii="Arial" w:hAnsi="Arial"/>
          <w:u w:val="none" w:color="231F20"/>
        </w:rPr>
      </w:r>
    </w:p>
    <w:p>
      <w:pPr>
        <w:pStyle w:val="Normal"/>
        <w:spacing w:lineRule="auto" w:line="252" w:before="0" w:after="160"/>
        <w:jc w:val="both"/>
        <w:rPr>
          <w:rFonts w:ascii="Arial" w:hAnsi="Arial" w:cs="Arial"/>
          <w:u w:val="none" w:color="231F20"/>
        </w:rPr>
      </w:pPr>
      <w:r>
        <w:rPr>
          <w:rFonts w:cs="Arial" w:ascii="Arial" w:hAnsi="Arial"/>
          <w:u w:val="none" w:color="231F20"/>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rPr>
        <w:t xml:space="preserve">Titolare del trattamento </w:t>
      </w:r>
    </w:p>
    <w:p>
      <w:pPr>
        <w:pStyle w:val="ListParagraph"/>
        <w:spacing w:lineRule="auto" w:line="252"/>
        <w:jc w:val="both"/>
        <w:rPr>
          <w:rFonts w:ascii="Arial" w:hAnsi="Arial" w:cs="Arial"/>
          <w:sz w:val="22"/>
          <w:szCs w:val="22"/>
        </w:rPr>
      </w:pPr>
      <w:r>
        <w:rPr>
          <w:rFonts w:cs="Arial" w:ascii="Arial" w:hAnsi="Arial"/>
          <w:sz w:val="22"/>
          <w:szCs w:val="22"/>
        </w:rPr>
        <w:t>Il Titolare del trattamento dei dati è il Comune di Magenta – Farmacia Comunale via Boccaccio,19 che Lei potrà contattare ai seguenti riferimenti: Telefono: 029792598– E-mail: farmacia.nord@comune.magenta.mi.it</w:t>
      </w:r>
    </w:p>
    <w:p>
      <w:pPr>
        <w:pStyle w:val="ListParagraph"/>
        <w:spacing w:lineRule="auto" w:line="252"/>
        <w:jc w:val="both"/>
        <w:rPr>
          <w:rFonts w:ascii="Arial" w:hAnsi="Arial" w:cs="Arial"/>
          <w:sz w:val="22"/>
          <w:szCs w:val="22"/>
        </w:rPr>
      </w:pPr>
      <w:r>
        <w:rPr>
          <w:rFonts w:cs="Arial" w:ascii="Arial" w:hAnsi="Arial"/>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rPr>
        <w:t>Responsabile Protezione Dati</w:t>
      </w:r>
    </w:p>
    <w:p>
      <w:pPr>
        <w:pStyle w:val="ListParagraph"/>
        <w:spacing w:lineRule="auto" w:line="252"/>
        <w:jc w:val="both"/>
        <w:rPr>
          <w:rFonts w:ascii="Arial" w:hAnsi="Arial" w:cs="Arial"/>
          <w:sz w:val="22"/>
          <w:szCs w:val="22"/>
        </w:rPr>
      </w:pPr>
      <w:r>
        <w:rPr>
          <w:rFonts w:cs="Arial" w:ascii="Arial" w:hAnsi="Arial"/>
          <w:sz w:val="22"/>
          <w:szCs w:val="22"/>
        </w:rPr>
        <w:t>Al fine di meglio tutelare gli Interessati, nonché in ossequio al dettato normativo, il Titolare ha nominato un proprio RPD (Responsabile della protezione dei dati personali o DPO), Cap&amp;G Consulting srl, Via Cerreto, 37 82035 San Salvatore Telesino (BN), che è possibile contattare scrivendo alla casella di posta elettronica info@capg.it, o al tel. 0824 041242.</w:t>
      </w:r>
    </w:p>
    <w:p>
      <w:pPr>
        <w:pStyle w:val="ListParagraph"/>
        <w:spacing w:lineRule="auto" w:line="252"/>
        <w:jc w:val="both"/>
        <w:rPr>
          <w:rFonts w:ascii="Arial" w:hAnsi="Arial" w:cs="Arial"/>
          <w:sz w:val="22"/>
          <w:szCs w:val="22"/>
        </w:rPr>
      </w:pPr>
      <w:r>
        <w:rPr>
          <w:rFonts w:cs="Arial" w:ascii="Arial" w:hAnsi="Arial"/>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u w:val="none" w:color="231F20"/>
        </w:rPr>
        <w:t>Finalità e basi giuridiche del trattamento, Tempi di conservazione.</w:t>
      </w:r>
    </w:p>
    <w:p>
      <w:pPr>
        <w:pStyle w:val="Normal"/>
        <w:spacing w:lineRule="auto" w:line="252"/>
        <w:jc w:val="both"/>
        <w:rPr>
          <w:rFonts w:ascii="Arial" w:hAnsi="Arial" w:cs="Arial"/>
          <w:b/>
          <w:b/>
          <w:bCs/>
          <w:sz w:val="22"/>
          <w:szCs w:val="22"/>
        </w:rPr>
      </w:pPr>
      <w:r>
        <w:rPr>
          <w:rFonts w:cs="Arial" w:ascii="Arial" w:hAnsi="Arial"/>
          <w:b/>
          <w:bCs/>
          <w:sz w:val="22"/>
          <w:szCs w:val="22"/>
        </w:rPr>
      </w:r>
    </w:p>
    <w:tbl>
      <w:tblPr>
        <w:tblW w:w="10206" w:type="dxa"/>
        <w:jc w:val="left"/>
        <w:tblInd w:w="704" w:type="dxa"/>
        <w:tblLayout w:type="fixed"/>
        <w:tblCellMar>
          <w:top w:w="0" w:type="dxa"/>
          <w:left w:w="5" w:type="dxa"/>
          <w:bottom w:w="0" w:type="dxa"/>
          <w:right w:w="5" w:type="dxa"/>
        </w:tblCellMar>
      </w:tblPr>
      <w:tblGrid>
        <w:gridCol w:w="2835"/>
        <w:gridCol w:w="4674"/>
        <w:gridCol w:w="2697"/>
      </w:tblGrid>
      <w:tr>
        <w:trPr>
          <w:trHeight w:val="688" w:hRule="exact"/>
        </w:trPr>
        <w:tc>
          <w:tcPr>
            <w:tcW w:w="2835"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Normal"/>
              <w:widowControl w:val="false"/>
              <w:overflowPunct w:val="false"/>
              <w:spacing w:before="32" w:after="221"/>
              <w:ind w:right="1100" w:hanging="0"/>
              <w:textAlignment w:val="baseline"/>
              <w:rPr>
                <w:rFonts w:ascii="Arial" w:hAnsi="Arial" w:cs="Arial"/>
                <w:b/>
                <w:b/>
                <w:bCs/>
                <w:color w:val="000000"/>
                <w:spacing w:val="-1"/>
                <w:sz w:val="22"/>
                <w:szCs w:val="22"/>
              </w:rPr>
            </w:pPr>
            <w:r>
              <w:rPr>
                <w:rFonts w:cs="Arial" w:ascii="Arial" w:hAnsi="Arial"/>
                <w:b/>
                <w:bCs/>
                <w:color w:val="000000"/>
                <w:spacing w:val="-1"/>
                <w:sz w:val="22"/>
                <w:szCs w:val="22"/>
              </w:rPr>
              <w:t>Finalità</w:t>
            </w:r>
          </w:p>
        </w:tc>
        <w:tc>
          <w:tcPr>
            <w:tcW w:w="4674"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Normal"/>
              <w:widowControl w:val="false"/>
              <w:overflowPunct w:val="false"/>
              <w:spacing w:before="32" w:after="221"/>
              <w:ind w:left="110" w:hanging="0"/>
              <w:textAlignment w:val="baseline"/>
              <w:rPr>
                <w:rFonts w:ascii="Arial" w:hAnsi="Arial" w:cs="Arial"/>
                <w:b/>
                <w:b/>
                <w:bCs/>
                <w:color w:val="000000"/>
                <w:sz w:val="22"/>
                <w:szCs w:val="22"/>
              </w:rPr>
            </w:pPr>
            <w:r>
              <w:rPr>
                <w:rFonts w:cs="Arial" w:ascii="Arial" w:hAnsi="Arial"/>
                <w:b/>
                <w:bCs/>
                <w:color w:val="000000"/>
                <w:sz w:val="22"/>
                <w:szCs w:val="22"/>
              </w:rPr>
              <w:t>Base Giuridica</w:t>
            </w:r>
          </w:p>
        </w:tc>
        <w:tc>
          <w:tcPr>
            <w:tcW w:w="2697"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tcPr>
          <w:p>
            <w:pPr>
              <w:pStyle w:val="Normal"/>
              <w:widowControl w:val="false"/>
              <w:tabs>
                <w:tab w:val="clear" w:pos="708"/>
                <w:tab w:val="right" w:pos="1368" w:leader="none"/>
              </w:tabs>
              <w:overflowPunct w:val="false"/>
              <w:spacing w:before="32" w:after="0"/>
              <w:ind w:left="72" w:hanging="0"/>
              <w:textAlignment w:val="baseline"/>
              <w:rPr>
                <w:rFonts w:ascii="Arial" w:hAnsi="Arial" w:cs="Arial"/>
                <w:b/>
                <w:b/>
                <w:bCs/>
                <w:color w:val="000000"/>
                <w:sz w:val="22"/>
                <w:szCs w:val="22"/>
              </w:rPr>
            </w:pPr>
            <w:r>
              <w:rPr>
                <w:rFonts w:cs="Arial" w:ascii="Arial" w:hAnsi="Arial"/>
                <w:b/>
                <w:bCs/>
                <w:color w:val="000000"/>
                <w:sz w:val="22"/>
                <w:szCs w:val="22"/>
              </w:rPr>
              <w:t>Tempi di</w:t>
            </w:r>
          </w:p>
          <w:p>
            <w:pPr>
              <w:pStyle w:val="Normal"/>
              <w:widowControl w:val="false"/>
              <w:overflowPunct w:val="false"/>
              <w:spacing w:before="32" w:after="0"/>
              <w:ind w:left="72" w:hanging="0"/>
              <w:textAlignment w:val="baseline"/>
              <w:rPr>
                <w:rFonts w:ascii="Arial" w:hAnsi="Arial" w:cs="Arial"/>
                <w:b/>
                <w:b/>
                <w:bCs/>
                <w:color w:val="000000"/>
                <w:sz w:val="22"/>
                <w:szCs w:val="22"/>
              </w:rPr>
            </w:pPr>
            <w:r>
              <w:rPr>
                <w:rFonts w:cs="Arial" w:ascii="Arial" w:hAnsi="Arial"/>
                <w:b/>
                <w:bCs/>
                <w:color w:val="000000"/>
                <w:sz w:val="22"/>
                <w:szCs w:val="22"/>
              </w:rPr>
              <w:t>conservazione</w:t>
            </w:r>
          </w:p>
        </w:tc>
      </w:tr>
      <w:tr>
        <w:trPr>
          <w:trHeight w:val="4017" w:hRule="exact"/>
          <w:cantSplit w:val="true"/>
        </w:trPr>
        <w:tc>
          <w:tcPr>
            <w:tcW w:w="2835" w:type="dxa"/>
            <w:tcBorders>
              <w:top w:val="single" w:sz="4" w:space="0" w:color="00000A"/>
              <w:left w:val="single" w:sz="4" w:space="0" w:color="00000A"/>
              <w:bottom w:val="single" w:sz="4" w:space="0" w:color="00000A"/>
              <w:right w:val="single" w:sz="4" w:space="0" w:color="00000A"/>
            </w:tcBorders>
            <w:shd w:fill="auto" w:val="clear"/>
          </w:tcPr>
          <w:p>
            <w:pPr>
              <w:pStyle w:val="Default"/>
              <w:widowControl w:val="false"/>
              <w:rPr>
                <w:rFonts w:ascii="Arial" w:hAnsi="Arial" w:cs="Arial"/>
                <w:b/>
                <w:b/>
                <w:sz w:val="22"/>
                <w:szCs w:val="22"/>
              </w:rPr>
            </w:pPr>
            <w:r>
              <w:rPr>
                <w:rFonts w:cs="Arial" w:ascii="Arial" w:hAnsi="Arial"/>
                <w:b/>
                <w:sz w:val="22"/>
                <w:szCs w:val="22"/>
              </w:rPr>
              <w:t>A. Instaurazione, esecuzione e gestione di servizi relativi all’assistenza sanitaria.</w:t>
            </w:r>
          </w:p>
        </w:tc>
        <w:tc>
          <w:tcPr>
            <w:tcW w:w="467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t>Per i dati “comuni”: Art. 6, par. 1, lett. b), RGPD (il trattamento è necessario all'esecuzione di un contratto di cui l'interessato è parte o all'esecuzione di misure precontrattuali adottate su richiesta dello stesso)</w:t>
            </w:r>
          </w:p>
          <w:p>
            <w:pPr>
              <w:pStyle w:val="Normal"/>
              <w:widowControl w:val="false"/>
              <w:rPr>
                <w:rFonts w:ascii="Arial" w:hAnsi="Arial" w:cs="Arial"/>
                <w:sz w:val="22"/>
                <w:szCs w:val="22"/>
              </w:rPr>
            </w:pPr>
            <w:r>
              <w:rPr>
                <w:rFonts w:cs="Arial" w:ascii="Arial" w:hAnsi="Arial"/>
                <w:sz w:val="22"/>
                <w:szCs w:val="22"/>
              </w:rPr>
              <w:t>Per i dati relativi alla salute: A</w:t>
            </w:r>
            <w:r>
              <w:rPr>
                <w:rFonts w:eastAsia="Calibri" w:cs="Arial" w:ascii="Arial" w:hAnsi="Arial"/>
                <w:sz w:val="22"/>
                <w:szCs w:val="22"/>
              </w:rPr>
              <w:t xml:space="preserve">rt. 9, </w:t>
            </w:r>
            <w:r>
              <w:rPr>
                <w:rFonts w:cs="Arial" w:ascii="Arial" w:hAnsi="Arial"/>
                <w:sz w:val="22"/>
                <w:szCs w:val="22"/>
              </w:rPr>
              <w:t>par. 2, lett. h), RGPD (il trattamento è necessario per finalità di medicina preventiva o di medicina del lavoro, valutazione della capacità lavorativa del dipendente, diagnosi, assistenza o terapia sanitaria o sociale ovvero gestione dei sistemi e servizi sanitari o sociali sulla base del diritto dell'Unione o degli Stati membri o conformemente al contratto con un professionista della sanità).</w:t>
            </w:r>
          </w:p>
          <w:p>
            <w:pPr>
              <w:pStyle w:val="Normal"/>
              <w:widowControl w:val="false"/>
              <w:spacing w:before="0" w:after="240"/>
              <w:rPr>
                <w:rFonts w:ascii="Arial" w:hAnsi="Arial" w:cs="Arial"/>
                <w:sz w:val="22"/>
                <w:szCs w:val="22"/>
              </w:rPr>
            </w:pPr>
            <w:r>
              <w:rPr>
                <w:rFonts w:cs="Arial" w:ascii="Arial" w:hAnsi="Arial"/>
                <w:sz w:val="22"/>
                <w:szCs w:val="22"/>
              </w:rPr>
            </w:r>
          </w:p>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r>
          </w:p>
        </w:tc>
        <w:tc>
          <w:tcPr>
            <w:tcW w:w="2697"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r>
          </w:p>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r>
          </w:p>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r>
          </w:p>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r>
          </w:p>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t>Salvi gli obblighi</w:t>
              <w:br/>
              <w:t>di legge che</w:t>
              <w:br/>
              <w:t>impongano</w:t>
              <w:br/>
              <w:t>tempi di</w:t>
              <w:br/>
              <w:t>conservazione</w:t>
              <w:br/>
              <w:t>maggiori, i dati</w:t>
              <w:br/>
              <w:t>saranno</w:t>
              <w:br/>
              <w:t>conservati per</w:t>
              <w:br/>
              <w:t>tutta la durata</w:t>
              <w:br/>
              <w:t>del rapporto, per il conseguimento delle finalità richiamate, e fino allo spirare dei termini prescrizionali previsti dalla legge.</w:t>
            </w:r>
          </w:p>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t>Per la sola finalità sub B), i dati relativi alla salute vengono cancellati ove l’interessato revochi il consenso prestato.</w:t>
            </w:r>
          </w:p>
        </w:tc>
      </w:tr>
      <w:tr>
        <w:trPr>
          <w:trHeight w:val="2558" w:hRule="exact"/>
          <w:cantSplit w:val="true"/>
        </w:trPr>
        <w:tc>
          <w:tcPr>
            <w:tcW w:w="28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right" w:pos="1728" w:leader="none"/>
              </w:tabs>
              <w:overflowPunct w:val="false"/>
              <w:textAlignment w:val="baseline"/>
              <w:rPr>
                <w:rFonts w:ascii="Arial" w:hAnsi="Arial" w:cs="Arial"/>
                <w:b/>
                <w:b/>
                <w:sz w:val="22"/>
                <w:szCs w:val="22"/>
              </w:rPr>
            </w:pPr>
            <w:r>
              <w:rPr>
                <w:rFonts w:cs="Arial" w:ascii="Arial" w:hAnsi="Arial"/>
                <w:b/>
                <w:sz w:val="22"/>
                <w:szCs w:val="22"/>
              </w:rPr>
              <w:t>B. Instaurazione, esecuzione e gestione dei seguenti servizi:</w:t>
            </w:r>
          </w:p>
          <w:p>
            <w:pPr>
              <w:pStyle w:val="ListParagraph"/>
              <w:widowControl w:val="false"/>
              <w:numPr>
                <w:ilvl w:val="0"/>
                <w:numId w:val="3"/>
              </w:numPr>
              <w:tabs>
                <w:tab w:val="clear" w:pos="708"/>
                <w:tab w:val="right" w:pos="1728" w:leader="none"/>
              </w:tabs>
              <w:overflowPunct w:val="false"/>
              <w:textAlignment w:val="baseline"/>
              <w:rPr>
                <w:rFonts w:ascii="Arial" w:hAnsi="Arial" w:cs="Arial"/>
                <w:sz w:val="22"/>
                <w:szCs w:val="22"/>
              </w:rPr>
            </w:pPr>
            <w:r>
              <w:rPr>
                <w:rFonts w:cs="Arial" w:ascii="Arial" w:hAnsi="Arial"/>
                <w:sz w:val="22"/>
                <w:szCs w:val="22"/>
              </w:rPr>
              <w:t>Holter cardiaco</w:t>
            </w:r>
          </w:p>
          <w:p>
            <w:pPr>
              <w:pStyle w:val="ListParagraph"/>
              <w:widowControl w:val="false"/>
              <w:numPr>
                <w:ilvl w:val="0"/>
                <w:numId w:val="3"/>
              </w:numPr>
              <w:tabs>
                <w:tab w:val="clear" w:pos="708"/>
                <w:tab w:val="right" w:pos="1728" w:leader="none"/>
              </w:tabs>
              <w:overflowPunct w:val="false"/>
              <w:textAlignment w:val="baseline"/>
              <w:rPr>
                <w:rFonts w:ascii="Arial" w:hAnsi="Arial" w:cs="Arial"/>
                <w:sz w:val="22"/>
                <w:szCs w:val="22"/>
              </w:rPr>
            </w:pPr>
            <w:r>
              <w:rPr>
                <w:rFonts w:cs="Arial" w:ascii="Arial" w:hAnsi="Arial"/>
                <w:sz w:val="22"/>
                <w:szCs w:val="22"/>
              </w:rPr>
              <w:t>Holter pressorio</w:t>
            </w:r>
          </w:p>
          <w:p>
            <w:pPr>
              <w:pStyle w:val="ListParagraph"/>
              <w:widowControl w:val="false"/>
              <w:numPr>
                <w:ilvl w:val="0"/>
                <w:numId w:val="3"/>
              </w:numPr>
              <w:tabs>
                <w:tab w:val="clear" w:pos="708"/>
                <w:tab w:val="right" w:pos="1728" w:leader="none"/>
              </w:tabs>
              <w:overflowPunct w:val="false"/>
              <w:textAlignment w:val="baseline"/>
              <w:rPr>
                <w:rFonts w:ascii="Arial" w:hAnsi="Arial" w:cs="Arial"/>
                <w:sz w:val="22"/>
                <w:szCs w:val="22"/>
              </w:rPr>
            </w:pPr>
            <w:r>
              <w:rPr>
                <w:rFonts w:cs="Arial" w:ascii="Arial" w:hAnsi="Arial"/>
                <w:sz w:val="22"/>
                <w:szCs w:val="22"/>
              </w:rPr>
              <w:t>Elettrocardiogramma</w:t>
            </w:r>
          </w:p>
          <w:p>
            <w:pPr>
              <w:pStyle w:val="ListParagraph"/>
              <w:widowControl w:val="false"/>
              <w:numPr>
                <w:ilvl w:val="0"/>
                <w:numId w:val="3"/>
              </w:numPr>
              <w:tabs>
                <w:tab w:val="clear" w:pos="708"/>
                <w:tab w:val="right" w:pos="1728" w:leader="none"/>
              </w:tabs>
              <w:overflowPunct w:val="false"/>
              <w:textAlignment w:val="baseline"/>
              <w:rPr>
                <w:rFonts w:ascii="Arial" w:hAnsi="Arial" w:cs="Arial"/>
                <w:sz w:val="22"/>
                <w:szCs w:val="22"/>
              </w:rPr>
            </w:pPr>
            <w:r>
              <w:rPr>
                <w:rFonts w:cs="Arial" w:ascii="Arial" w:hAnsi="Arial"/>
                <w:sz w:val="22"/>
                <w:szCs w:val="22"/>
              </w:rPr>
              <w:t>Prelievo capillare</w:t>
            </w:r>
          </w:p>
          <w:p>
            <w:pPr>
              <w:pStyle w:val="ListParagraph"/>
              <w:widowControl w:val="false"/>
              <w:numPr>
                <w:ilvl w:val="0"/>
                <w:numId w:val="3"/>
              </w:numPr>
              <w:tabs>
                <w:tab w:val="clear" w:pos="708"/>
                <w:tab w:val="right" w:pos="1728" w:leader="none"/>
              </w:tabs>
              <w:overflowPunct w:val="false"/>
              <w:textAlignment w:val="baseline"/>
              <w:rPr>
                <w:rFonts w:ascii="Arial" w:hAnsi="Arial" w:cs="Arial"/>
                <w:sz w:val="22"/>
                <w:szCs w:val="22"/>
              </w:rPr>
            </w:pPr>
            <w:r>
              <w:rPr>
                <w:rFonts w:cs="Arial" w:ascii="Arial" w:hAnsi="Arial"/>
                <w:sz w:val="22"/>
                <w:szCs w:val="22"/>
              </w:rPr>
              <w:t>Foratura lobi</w:t>
            </w:r>
          </w:p>
          <w:p>
            <w:pPr>
              <w:pStyle w:val="ListParagraph"/>
              <w:widowControl w:val="false"/>
              <w:numPr>
                <w:ilvl w:val="0"/>
                <w:numId w:val="3"/>
              </w:numPr>
              <w:tabs>
                <w:tab w:val="clear" w:pos="708"/>
                <w:tab w:val="right" w:pos="1728" w:leader="none"/>
              </w:tabs>
              <w:overflowPunct w:val="false"/>
              <w:textAlignment w:val="baseline"/>
              <w:rPr>
                <w:rFonts w:ascii="Arial" w:hAnsi="Arial" w:cs="Arial"/>
                <w:sz w:val="22"/>
                <w:szCs w:val="22"/>
              </w:rPr>
            </w:pPr>
            <w:r>
              <w:rPr>
                <w:rFonts w:cs="Arial" w:ascii="Arial" w:hAnsi="Arial"/>
                <w:sz w:val="22"/>
                <w:szCs w:val="22"/>
              </w:rPr>
              <w:t>noleggio azztrezzatura</w:t>
            </w:r>
          </w:p>
          <w:p>
            <w:pPr>
              <w:pStyle w:val="Normal"/>
              <w:widowControl w:val="false"/>
              <w:tabs>
                <w:tab w:val="clear" w:pos="708"/>
                <w:tab w:val="left" w:pos="432" w:leader="none"/>
                <w:tab w:val="right" w:pos="1728" w:leader="none"/>
              </w:tabs>
              <w:overflowPunct w:val="false"/>
              <w:textAlignment w:val="baseline"/>
              <w:rPr>
                <w:rFonts w:ascii="Arial" w:hAnsi="Arial" w:cs="Arial"/>
                <w:b/>
                <w:b/>
                <w:sz w:val="22"/>
                <w:szCs w:val="22"/>
              </w:rPr>
            </w:pPr>
            <w:r>
              <w:rPr>
                <w:rFonts w:cs="Arial" w:ascii="Arial" w:hAnsi="Arial"/>
                <w:b/>
                <w:sz w:val="22"/>
                <w:szCs w:val="22"/>
              </w:rPr>
            </w:r>
          </w:p>
        </w:tc>
        <w:tc>
          <w:tcPr>
            <w:tcW w:w="467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t>Per i dati “comuni”: Art. 6, par. 1, lett. b), RGPD (il trattamento è necessario all'esecuzione di un contratto di cui l'interessato è parte o all'esecuzione di misure precontrattuali adottate su richiesta dello stesso)</w:t>
            </w:r>
          </w:p>
          <w:p>
            <w:pPr>
              <w:pStyle w:val="Normal"/>
              <w:widowControl w:val="false"/>
              <w:overflowPunct w:val="false"/>
              <w:textAlignment w:val="baseline"/>
              <w:rPr>
                <w:rFonts w:ascii="Arial" w:hAnsi="Arial" w:cs="Arial"/>
                <w:sz w:val="22"/>
                <w:szCs w:val="22"/>
              </w:rPr>
            </w:pPr>
            <w:r>
              <w:rPr>
                <w:rFonts w:cs="Arial" w:ascii="Arial" w:hAnsi="Arial"/>
                <w:sz w:val="22"/>
                <w:szCs w:val="22"/>
              </w:rPr>
              <w:t>Per i dati relativi alla salute: Art. 9, par. 2, lett. a), RGPD (l'interessato ha prestato il proprio consenso esplicito al trattamento per una o più finalità specifiche)</w:t>
            </w:r>
          </w:p>
        </w:tc>
        <w:tc>
          <w:tcPr>
            <w:tcW w:w="2697"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textAlignment w:val="baseline"/>
              <w:rPr>
                <w:rFonts w:ascii="Arial" w:hAnsi="Arial" w:cs="Arial"/>
                <w:sz w:val="22"/>
                <w:szCs w:val="22"/>
              </w:rPr>
            </w:pPr>
            <w:r>
              <w:rPr>
                <w:rFonts w:cs="Arial" w:ascii="Arial" w:hAnsi="Arial"/>
                <w:sz w:val="22"/>
                <w:szCs w:val="22"/>
              </w:rPr>
            </w:r>
          </w:p>
        </w:tc>
      </w:tr>
      <w:tr>
        <w:trPr>
          <w:trHeight w:val="1263" w:hRule="exact"/>
          <w:cantSplit w:val="true"/>
        </w:trPr>
        <w:tc>
          <w:tcPr>
            <w:tcW w:w="283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432" w:leader="none"/>
                <w:tab w:val="right" w:pos="1728" w:leader="none"/>
              </w:tabs>
              <w:overflowPunct w:val="false"/>
              <w:textAlignment w:val="baseline"/>
              <w:rPr>
                <w:rFonts w:ascii="Arial" w:hAnsi="Arial" w:cs="Arial"/>
                <w:b/>
                <w:b/>
                <w:spacing w:val="-16"/>
                <w:sz w:val="22"/>
                <w:szCs w:val="22"/>
              </w:rPr>
            </w:pPr>
            <w:r>
              <w:rPr>
                <w:rFonts w:cs="Arial" w:ascii="Arial" w:hAnsi="Arial"/>
                <w:b/>
                <w:sz w:val="22"/>
                <w:szCs w:val="22"/>
              </w:rPr>
              <w:t>C. Adempimenti</w:t>
              <w:tab/>
              <w:t>, da parte del titolare, di obblighi legali e fiscali, gestione di eventuali contenziosi.</w:t>
            </w:r>
          </w:p>
        </w:tc>
        <w:tc>
          <w:tcPr>
            <w:tcW w:w="467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432" w:leader="none"/>
                <w:tab w:val="right" w:pos="1728" w:leader="none"/>
              </w:tabs>
              <w:overflowPunct w:val="false"/>
              <w:textAlignment w:val="baseline"/>
              <w:rPr>
                <w:rFonts w:ascii="Arial" w:hAnsi="Arial" w:cs="Arial"/>
                <w:sz w:val="22"/>
                <w:szCs w:val="22"/>
              </w:rPr>
            </w:pPr>
            <w:r>
              <w:rPr>
                <w:rFonts w:cs="Arial" w:ascii="Arial" w:hAnsi="Arial"/>
                <w:sz w:val="22"/>
                <w:szCs w:val="22"/>
              </w:rPr>
              <w:t>Art. 6, par. 1, lett. c), RGPD (il trattamento è necessario per adempiere un obbligo legale al quale è soggetto il titolare del trattamento)</w:t>
            </w:r>
          </w:p>
        </w:tc>
        <w:tc>
          <w:tcPr>
            <w:tcW w:w="2697"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432" w:leader="none"/>
                <w:tab w:val="left" w:pos="504" w:leader="none"/>
                <w:tab w:val="left" w:pos="792" w:leader="none"/>
                <w:tab w:val="right" w:pos="1584" w:leader="none"/>
                <w:tab w:val="right" w:pos="1728" w:leader="none"/>
              </w:tabs>
              <w:overflowPunct w:val="false"/>
              <w:textAlignment w:val="baseline"/>
              <w:rPr>
                <w:rFonts w:ascii="Arial" w:hAnsi="Arial" w:cs="Arial"/>
                <w:sz w:val="22"/>
                <w:szCs w:val="22"/>
              </w:rPr>
            </w:pPr>
            <w:r>
              <w:rPr>
                <w:rFonts w:cs="Arial" w:ascii="Arial" w:hAnsi="Arial"/>
                <w:sz w:val="22"/>
                <w:szCs w:val="22"/>
              </w:rPr>
            </w:r>
          </w:p>
        </w:tc>
      </w:tr>
    </w:tbl>
    <w:p>
      <w:pPr>
        <w:pStyle w:val="ListParagraph"/>
        <w:spacing w:lineRule="auto" w:line="252"/>
        <w:jc w:val="both"/>
        <w:rPr>
          <w:rFonts w:ascii="Arial" w:hAnsi="Arial" w:cs="Arial"/>
          <w:sz w:val="22"/>
          <w:szCs w:val="22"/>
        </w:rPr>
      </w:pPr>
      <w:r>
        <w:rPr>
          <w:rFonts w:cs="Arial" w:ascii="Arial" w:hAnsi="Arial"/>
          <w:sz w:val="22"/>
          <w:szCs w:val="22"/>
        </w:rPr>
      </w:r>
    </w:p>
    <w:p>
      <w:pPr>
        <w:pStyle w:val="ListParagraph"/>
        <w:spacing w:lineRule="auto" w:line="252"/>
        <w:jc w:val="both"/>
        <w:rPr>
          <w:rFonts w:ascii="Arial" w:hAnsi="Arial" w:cs="Arial"/>
          <w:sz w:val="22"/>
          <w:szCs w:val="22"/>
        </w:rPr>
      </w:pPr>
      <w:r>
        <w:rPr>
          <w:rFonts w:cs="Arial" w:ascii="Arial" w:hAnsi="Arial"/>
          <w:sz w:val="22"/>
          <w:szCs w:val="22"/>
        </w:rPr>
      </w:r>
    </w:p>
    <w:p>
      <w:pPr>
        <w:pStyle w:val="ListParagraph"/>
        <w:spacing w:lineRule="auto" w:line="252"/>
        <w:jc w:val="both"/>
        <w:rPr>
          <w:rFonts w:ascii="Arial" w:hAnsi="Arial" w:cs="Arial"/>
          <w:sz w:val="22"/>
          <w:szCs w:val="22"/>
        </w:rPr>
      </w:pPr>
      <w:r>
        <w:rPr>
          <w:rFonts w:cs="Arial" w:ascii="Arial" w:hAnsi="Arial"/>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rPr>
        <w:t>Modalità del trattamento.</w:t>
      </w:r>
    </w:p>
    <w:p>
      <w:pPr>
        <w:pStyle w:val="ListParagraph"/>
        <w:spacing w:lineRule="auto" w:line="252"/>
        <w:jc w:val="both"/>
        <w:rPr>
          <w:rFonts w:ascii="Arial" w:hAnsi="Arial" w:cs="Arial"/>
          <w:sz w:val="22"/>
          <w:szCs w:val="22"/>
        </w:rPr>
      </w:pPr>
      <w:r>
        <w:rPr>
          <w:rFonts w:cs="Arial" w:ascii="Arial" w:hAnsi="Arial"/>
          <w:sz w:val="22"/>
          <w:szCs w:val="22"/>
        </w:rPr>
        <w:t xml:space="preserve">I dati trattati, in alcuni casi sono soltanto appartenenti alla categoria dei dati “comuni” (quali, ad esempio, nome e cognome, data e luogo di nascita, codice fiscale, residenza, domicilio, recapiti completi, fisici e telefonici, PEC ed e-mail, documento di riconoscimento, ecc.), mentre, in altri casi, possono essere </w:t>
      </w:r>
    </w:p>
    <w:p>
      <w:pPr>
        <w:pStyle w:val="ListParagraph"/>
        <w:spacing w:lineRule="auto" w:line="252"/>
        <w:jc w:val="both"/>
        <w:rPr>
          <w:rFonts w:ascii="Arial" w:hAnsi="Arial" w:cs="Arial"/>
          <w:sz w:val="22"/>
          <w:szCs w:val="22"/>
        </w:rPr>
      </w:pPr>
      <w:r>
        <w:rPr>
          <w:rFonts w:cs="Arial" w:ascii="Arial" w:hAnsi="Arial"/>
          <w:sz w:val="22"/>
          <w:szCs w:val="22"/>
        </w:rPr>
      </w:r>
    </w:p>
    <w:p>
      <w:pPr>
        <w:pStyle w:val="ListParagraph"/>
        <w:spacing w:lineRule="auto" w:line="252"/>
        <w:jc w:val="both"/>
        <w:rPr>
          <w:rFonts w:ascii="Arial" w:hAnsi="Arial" w:cs="Arial"/>
          <w:sz w:val="22"/>
          <w:szCs w:val="22"/>
        </w:rPr>
      </w:pPr>
      <w:r>
        <w:rPr>
          <w:rFonts w:cs="Arial" w:ascii="Arial" w:hAnsi="Arial"/>
          <w:sz w:val="22"/>
          <w:szCs w:val="22"/>
        </w:rPr>
        <w:t>trattati anche dati relativi alla salute (quali, ad esempio, patologia, terapie, dati clinici, pressione arteriosa, glicemia, ecc.).</w:t>
      </w:r>
    </w:p>
    <w:p>
      <w:pPr>
        <w:pStyle w:val="ListParagraph"/>
        <w:spacing w:lineRule="auto" w:line="252"/>
        <w:jc w:val="both"/>
        <w:rPr>
          <w:rFonts w:ascii="Arial" w:hAnsi="Arial" w:cs="Arial"/>
          <w:sz w:val="22"/>
          <w:szCs w:val="22"/>
        </w:rPr>
      </w:pPr>
      <w:r>
        <w:rPr>
          <w:rFonts w:cs="Arial" w:ascii="Arial" w:hAnsi="Arial"/>
          <w:sz w:val="22"/>
          <w:szCs w:val="22"/>
        </w:rPr>
        <w:t>La raccolta dei dati avviene nel rispetto dei principi di liceità, correttezza, trasparenza, limitazione delle finalità e della conservazione, minimizzazione dei dati, esattezza, integrità e riservatezza.</w:t>
      </w:r>
    </w:p>
    <w:p>
      <w:pPr>
        <w:pStyle w:val="ListParagraph"/>
        <w:spacing w:lineRule="auto" w:line="252"/>
        <w:jc w:val="both"/>
        <w:rPr>
          <w:rFonts w:ascii="Arial" w:hAnsi="Arial" w:cs="Arial"/>
          <w:sz w:val="22"/>
          <w:szCs w:val="22"/>
        </w:rPr>
      </w:pPr>
      <w:r>
        <w:rPr>
          <w:rFonts w:cs="Arial" w:ascii="Arial" w:hAnsi="Arial"/>
          <w:sz w:val="22"/>
          <w:szCs w:val="22"/>
        </w:rPr>
        <w:t>I dati personali saranno trattati esclusivamente dal personale dipendente autorizzato al trattamento (artt. 4.10, 29, 32.4, RGPD).</w:t>
      </w:r>
    </w:p>
    <w:p>
      <w:pPr>
        <w:pStyle w:val="ListParagraph"/>
        <w:spacing w:lineRule="auto" w:line="252"/>
        <w:jc w:val="both"/>
        <w:rPr>
          <w:rFonts w:ascii="Arial" w:hAnsi="Arial" w:cs="Arial"/>
          <w:sz w:val="22"/>
          <w:szCs w:val="22"/>
        </w:rPr>
      </w:pPr>
      <w:r>
        <w:rPr>
          <w:rFonts w:cs="Arial" w:ascii="Arial" w:hAnsi="Arial"/>
          <w:sz w:val="22"/>
          <w:szCs w:val="22"/>
        </w:rPr>
        <w:t>Il trattamento, che avviene in modalità cartacea e/o elettronica, assicurando idonee misure di sicurezza in adesione all’art. 32, RGPD, può consistere nelle operazioni di cui all’art. 4, n. 2), RGPD, e precisamente: raccolta, registrazione, organizzazione, conservazione, consultazione, elaborazione, modificazione, selezione, estrazione, utilizzo, blocco, comunicazione, cancellazione e distruzione dei dati.</w:t>
      </w:r>
    </w:p>
    <w:p>
      <w:pPr>
        <w:pStyle w:val="ListParagraph"/>
        <w:spacing w:lineRule="auto" w:line="252"/>
        <w:jc w:val="both"/>
        <w:rPr>
          <w:rFonts w:ascii="Arial" w:hAnsi="Arial" w:cs="Arial"/>
          <w:sz w:val="22"/>
          <w:szCs w:val="22"/>
        </w:rPr>
      </w:pPr>
      <w:r>
        <w:rPr>
          <w:rFonts w:cs="Arial" w:ascii="Arial" w:hAnsi="Arial"/>
          <w:sz w:val="22"/>
          <w:szCs w:val="22"/>
        </w:rPr>
        <w:t>Non si eseguono attività di profilazione.</w:t>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u w:val="none" w:color="231F20"/>
        </w:rPr>
        <w:t>Natura del conferimento.</w:t>
      </w:r>
    </w:p>
    <w:p>
      <w:pPr>
        <w:pStyle w:val="ListParagraph"/>
        <w:spacing w:lineRule="auto" w:line="252"/>
        <w:jc w:val="both"/>
        <w:rPr>
          <w:rFonts w:ascii="Arial" w:hAnsi="Arial" w:cs="Arial"/>
          <w:sz w:val="22"/>
          <w:szCs w:val="22"/>
        </w:rPr>
      </w:pPr>
      <w:r>
        <w:rPr>
          <w:rFonts w:cs="Arial" w:ascii="Arial" w:hAnsi="Arial"/>
          <w:sz w:val="22"/>
          <w:szCs w:val="22"/>
        </w:rPr>
        <w:t>Il conferimento dei dati personali è obbligatorio per l’espletamento del servizio richiesto dall’interessato e il rifiuto di conferire i dati comporta la mancata erogazione del servizio.</w:t>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rPr>
        <w:t>Destinatari dei dati.</w:t>
      </w:r>
    </w:p>
    <w:p>
      <w:pPr>
        <w:pStyle w:val="ListParagraph"/>
        <w:spacing w:lineRule="auto" w:line="252"/>
        <w:jc w:val="both"/>
        <w:rPr>
          <w:rFonts w:ascii="Arial" w:hAnsi="Arial" w:cs="Arial"/>
          <w:sz w:val="22"/>
          <w:szCs w:val="22"/>
        </w:rPr>
      </w:pPr>
      <w:r>
        <w:rPr>
          <w:rFonts w:cs="Arial" w:ascii="Arial" w:hAnsi="Arial"/>
          <w:sz w:val="22"/>
          <w:szCs w:val="22"/>
        </w:rPr>
        <w:t>I dati personali potrebbero essere comunicati dal titolare del trattamento a soggetti che erogano servizi tecnico/informatici o forniscono software o piattaforme necessarie all’espletamento dei servizi richiesti nonché a soggetti che erogano servizi di comunicazione telematica, opportunamente desiganti quali responsabili del trattamento ex at. 28, RGPD, ove necessario.</w:t>
      </w:r>
    </w:p>
    <w:p>
      <w:pPr>
        <w:pStyle w:val="ListParagraph"/>
        <w:spacing w:lineRule="auto" w:line="252"/>
        <w:jc w:val="both"/>
        <w:rPr>
          <w:rFonts w:ascii="Arial" w:hAnsi="Arial" w:cs="Arial"/>
          <w:sz w:val="22"/>
          <w:szCs w:val="22"/>
        </w:rPr>
      </w:pPr>
      <w:r>
        <w:rPr>
          <w:rFonts w:cs="Arial" w:ascii="Arial" w:hAnsi="Arial"/>
          <w:sz w:val="22"/>
          <w:szCs w:val="22"/>
        </w:rPr>
        <w:t xml:space="preserve">È fatta salva, in ogni caso, la comunicazione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pPr>
        <w:pStyle w:val="ListParagraph"/>
        <w:spacing w:lineRule="auto" w:line="252"/>
        <w:jc w:val="both"/>
        <w:rPr>
          <w:rFonts w:ascii="Arial" w:hAnsi="Arial" w:cs="Arial"/>
          <w:sz w:val="22"/>
          <w:szCs w:val="22"/>
        </w:rPr>
      </w:pPr>
      <w:r>
        <w:rPr>
          <w:rFonts w:cs="Arial" w:ascii="Arial" w:hAnsi="Arial"/>
          <w:sz w:val="22"/>
          <w:szCs w:val="22"/>
        </w:rPr>
        <w:t>Al di fuori di tali casi, i dati personali non vengono in nessun modo e per alcun motivo comunicati a terzi.</w:t>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rPr>
        <w:t>Trasferimento dei dati al di fuori dello SEE</w:t>
      </w:r>
    </w:p>
    <w:p>
      <w:pPr>
        <w:pStyle w:val="ListParagraph"/>
        <w:spacing w:lineRule="auto" w:line="252"/>
        <w:jc w:val="both"/>
        <w:rPr>
          <w:rFonts w:ascii="Arial" w:hAnsi="Arial" w:cs="Arial"/>
          <w:sz w:val="22"/>
          <w:szCs w:val="22"/>
        </w:rPr>
      </w:pPr>
      <w:r>
        <w:rPr>
          <w:rFonts w:cs="Arial" w:ascii="Arial" w:hAnsi="Arial"/>
          <w:sz w:val="22"/>
          <w:szCs w:val="22"/>
        </w:rPr>
        <w:t xml:space="preserve">Il Titolare del trattamento può avvalersi di società fornitrici di servizi di comunicazione telematica, di posta elettronica, servizi cloud, applicativi software che potrebbero far transitare i dati anche in Paesi non appartenenti allo Spazio Economico Europeo (SEE), o che in tali Paesi potrebbero salvare copie di backup dei dati, al fine di limitare i rischi connessi ad eventuali perdite di dati. Tali società di servizi sono selezionate per affidabilità, sicurezza e rispetto della normativa vigente a tutela dei dati personali e tra coloro che forniscono garanzie adeguate, così come previsto dall’art. 46, RGPD. Il trasferimento all’estero così effettuato è in linea con tale normativa, poiché attuato solo verso Paesi che sono stati oggetto di una decisione di adeguatezza e che, dunque, garantiscono un livello di protezione dei dati personali pari a quello europeo, oppure sulla base delle “clausole contrattuali tipo” (“SCC”) emanate dalla Commissione europea il 4 giugno 2021 o norme vincolanti d’impresa. Il Titolare adotta misure per proteggere i dati personali richiedendo ai fornitori un contratto che preveda l’adozione di un livello di protezione dei dati equivalente a quello previsto dal RGPD. Gli interessati, inoltre, dispongono di diritti azionabili e mezzi di ricorso effettivi. </w:t>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spacing w:lineRule="auto" w:line="252"/>
        <w:jc w:val="both"/>
        <w:rPr>
          <w:rFonts w:ascii="Arial" w:hAnsi="Arial" w:cs="Arial"/>
          <w:b/>
          <w:b/>
          <w:bCs/>
          <w:sz w:val="22"/>
          <w:szCs w:val="22"/>
        </w:rPr>
      </w:pPr>
      <w:r>
        <w:rPr>
          <w:rFonts w:cs="Arial" w:ascii="Arial" w:hAnsi="Arial"/>
          <w:b/>
          <w:bCs/>
          <w:sz w:val="22"/>
          <w:szCs w:val="22"/>
        </w:rPr>
      </w:r>
    </w:p>
    <w:p>
      <w:pPr>
        <w:pStyle w:val="ListParagraph"/>
        <w:numPr>
          <w:ilvl w:val="0"/>
          <w:numId w:val="1"/>
        </w:numPr>
        <w:spacing w:lineRule="auto" w:line="252"/>
        <w:jc w:val="both"/>
        <w:rPr>
          <w:rFonts w:ascii="Arial" w:hAnsi="Arial" w:cs="Arial"/>
          <w:b/>
          <w:b/>
          <w:bCs/>
          <w:sz w:val="22"/>
          <w:szCs w:val="22"/>
        </w:rPr>
      </w:pPr>
      <w:r>
        <w:rPr>
          <w:rFonts w:cs="Arial" w:ascii="Arial" w:hAnsi="Arial"/>
          <w:b/>
          <w:bCs/>
          <w:sz w:val="22"/>
          <w:szCs w:val="22"/>
        </w:rPr>
        <w:t>Diritti dell’interessato.</w:t>
      </w:r>
    </w:p>
    <w:p>
      <w:pPr>
        <w:pStyle w:val="ListParagraph"/>
        <w:spacing w:lineRule="auto" w:line="252"/>
        <w:jc w:val="both"/>
        <w:rPr>
          <w:rFonts w:ascii="Arial" w:hAnsi="Arial" w:cs="Arial"/>
          <w:sz w:val="22"/>
          <w:szCs w:val="22"/>
        </w:rPr>
      </w:pPr>
      <w:r>
        <w:rPr>
          <w:rFonts w:cs="Arial" w:ascii="Arial" w:hAnsi="Arial"/>
          <w:sz w:val="22"/>
          <w:szCs w:val="22"/>
        </w:rPr>
        <w:t>Agli Interessati spetta l’esercizio di un insieme di diritti ai sensi del RGPD, da esercitarsi contattando il titolare del trattamento, e in particolare i seguenti:</w:t>
      </w:r>
    </w:p>
    <w:p>
      <w:pPr>
        <w:pStyle w:val="ListParagraph"/>
        <w:spacing w:lineRule="auto" w:line="252"/>
        <w:jc w:val="both"/>
        <w:rPr>
          <w:rFonts w:ascii="Arial" w:hAnsi="Arial" w:cs="Arial"/>
          <w:sz w:val="22"/>
          <w:szCs w:val="22"/>
        </w:rPr>
      </w:pPr>
      <w:r>
        <w:rPr>
          <w:rFonts w:cs="Arial" w:ascii="Arial" w:hAnsi="Arial"/>
          <w:sz w:val="22"/>
          <w:szCs w:val="22"/>
        </w:rPr>
      </w:r>
    </w:p>
    <w:p>
      <w:pPr>
        <w:pStyle w:val="ListParagraph"/>
        <w:spacing w:lineRule="auto" w:line="252"/>
        <w:jc w:val="both"/>
        <w:rPr>
          <w:rFonts w:ascii="Arial" w:hAnsi="Arial" w:cs="Arial"/>
          <w:sz w:val="22"/>
          <w:szCs w:val="22"/>
        </w:rPr>
      </w:pPr>
      <w:r>
        <w:rPr>
          <w:rFonts w:cs="Arial" w:ascii="Arial" w:hAnsi="Arial"/>
          <w:sz w:val="22"/>
          <w:szCs w:val="22"/>
        </w:rPr>
      </w:r>
    </w:p>
    <w:tbl>
      <w:tblPr>
        <w:tblW w:w="10064" w:type="dxa"/>
        <w:jc w:val="left"/>
        <w:tblInd w:w="704" w:type="dxa"/>
        <w:tblLayout w:type="fixed"/>
        <w:tblCellMar>
          <w:top w:w="0" w:type="dxa"/>
          <w:left w:w="5" w:type="dxa"/>
          <w:bottom w:w="0" w:type="dxa"/>
          <w:right w:w="5" w:type="dxa"/>
        </w:tblCellMar>
      </w:tblPr>
      <w:tblGrid>
        <w:gridCol w:w="2125"/>
        <w:gridCol w:w="7938"/>
      </w:tblGrid>
      <w:tr>
        <w:trPr>
          <w:trHeight w:val="597" w:hRule="exact"/>
        </w:trPr>
        <w:tc>
          <w:tcPr>
            <w:tcW w:w="2125"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vAlign w:val="center"/>
          </w:tcPr>
          <w:p>
            <w:pPr>
              <w:pStyle w:val="Normal"/>
              <w:widowControl w:val="false"/>
              <w:overflowPunct w:val="false"/>
              <w:spacing w:before="233" w:after="239"/>
              <w:ind w:left="120" w:hanging="0"/>
              <w:textAlignment w:val="baseline"/>
              <w:rPr>
                <w:rFonts w:ascii="Arial" w:hAnsi="Arial" w:cs="Arial"/>
                <w:b/>
                <w:b/>
                <w:bCs/>
                <w:color w:val="000000"/>
                <w:spacing w:val="-1"/>
                <w:sz w:val="22"/>
                <w:szCs w:val="22"/>
              </w:rPr>
            </w:pPr>
            <w:r>
              <w:rPr>
                <w:rFonts w:cs="Arial" w:ascii="Arial" w:hAnsi="Arial"/>
                <w:b/>
                <w:bCs/>
                <w:color w:val="000000"/>
                <w:spacing w:val="-1"/>
                <w:sz w:val="22"/>
                <w:szCs w:val="22"/>
              </w:rPr>
              <w:t>Diritto</w:t>
            </w:r>
          </w:p>
        </w:tc>
        <w:tc>
          <w:tcPr>
            <w:tcW w:w="7938" w:type="dxa"/>
            <w:tcBorders>
              <w:top w:val="single" w:sz="4" w:space="0" w:color="00000A"/>
              <w:left w:val="single" w:sz="4" w:space="0" w:color="00000A"/>
              <w:bottom w:val="single" w:sz="4" w:space="0" w:color="00000A"/>
              <w:right w:val="single" w:sz="4" w:space="0" w:color="00000A"/>
            </w:tcBorders>
            <w:shd w:color="auto" w:fill="D9D9D9" w:themeFill="background1" w:themeFillShade="d9" w:val="clear"/>
            <w:vAlign w:val="center"/>
          </w:tcPr>
          <w:p>
            <w:pPr>
              <w:pStyle w:val="Normal"/>
              <w:widowControl w:val="false"/>
              <w:overflowPunct w:val="false"/>
              <w:spacing w:before="233" w:after="239"/>
              <w:ind w:left="115" w:hanging="0"/>
              <w:textAlignment w:val="baseline"/>
              <w:rPr>
                <w:rFonts w:ascii="Arial" w:hAnsi="Arial" w:cs="Arial"/>
                <w:b/>
                <w:b/>
                <w:bCs/>
                <w:color w:val="000000"/>
                <w:spacing w:val="-1"/>
                <w:sz w:val="22"/>
                <w:szCs w:val="22"/>
              </w:rPr>
            </w:pPr>
            <w:r>
              <w:rPr>
                <w:rFonts w:cs="Arial" w:ascii="Arial" w:hAnsi="Arial"/>
                <w:b/>
                <w:bCs/>
                <w:color w:val="000000"/>
                <w:spacing w:val="-1"/>
                <w:sz w:val="22"/>
                <w:szCs w:val="22"/>
              </w:rPr>
              <w:t>Descrizione</w:t>
            </w:r>
          </w:p>
        </w:tc>
      </w:tr>
      <w:tr>
        <w:trPr>
          <w:trHeight w:val="3764"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648" w:leader="none"/>
                <w:tab w:val="left" w:pos="936" w:leader="none"/>
                <w:tab w:val="left" w:pos="1584" w:leader="none"/>
                <w:tab w:val="right" w:pos="2160" w:leader="none"/>
              </w:tabs>
              <w:overflowPunct w:val="false"/>
              <w:ind w:left="72" w:hanging="0"/>
              <w:textAlignment w:val="baseline"/>
              <w:rPr>
                <w:rFonts w:ascii="Arial" w:hAnsi="Arial" w:cs="Arial"/>
                <w:spacing w:val="-4"/>
                <w:sz w:val="22"/>
                <w:szCs w:val="22"/>
              </w:rPr>
            </w:pPr>
            <w:r>
              <w:rPr>
                <w:rFonts w:cs="Arial" w:ascii="Arial" w:hAnsi="Arial"/>
                <w:sz w:val="22"/>
                <w:szCs w:val="22"/>
              </w:rPr>
              <w:t>Diritto di</w:t>
              <w:tab/>
              <w:t>accesso ai</w:t>
              <w:tab/>
              <w:t xml:space="preserve"> dati </w:t>
            </w:r>
            <w:r>
              <w:rPr>
                <w:rFonts w:cs="Arial" w:ascii="Arial" w:hAnsi="Arial"/>
                <w:spacing w:val="-4"/>
                <w:sz w:val="22"/>
                <w:szCs w:val="22"/>
              </w:rPr>
              <w:t>(art. 15, RGPD)</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ind w:left="72" w:right="108" w:hanging="0"/>
              <w:jc w:val="both"/>
              <w:textAlignment w:val="baseline"/>
              <w:rPr>
                <w:rFonts w:ascii="Arial" w:hAnsi="Arial" w:cs="Arial"/>
              </w:rPr>
            </w:pPr>
            <w:r>
              <w:rPr>
                <w:rFonts w:cs="Arial" w:ascii="Arial" w:hAnsi="Arial"/>
                <w:spacing w:val="-4"/>
              </w:rPr>
              <w:t xml:space="preserve">Lei ha il diritto di ottenere la conferma che sia o meno in corso un trattamento di dati personali che la riguardano e in tal caso, di ottenere l'accesso ai dati personali e alle seguenti informazioni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w:t>
            </w:r>
            <w:r>
              <w:rPr>
                <w:rFonts w:cs="Arial" w:ascii="Arial" w:hAnsi="Arial"/>
              </w:rPr>
              <w:t>informazioni disponibili sulla loro origine; h) l'esistenza di un processo decisionale automatizzato, compresa la profilazione di cui all'articolo 22, paragrafi 1 e 4, e, almeno in tali casi, informazioni significative sulla logica utilizzata, nonché l'importanza e le conseguenze previste di tale trattamento per l'interessato. Lei ha il diritto di richiedere una copia dei dati personali oggetto di trattamento, a condizione che non siano lesi i diritti e le libertà altrui.</w:t>
            </w:r>
          </w:p>
        </w:tc>
      </w:tr>
      <w:tr>
        <w:trPr>
          <w:trHeight w:val="572"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551"/>
              <w:ind w:left="120" w:hanging="0"/>
              <w:textAlignment w:val="baseline"/>
              <w:rPr>
                <w:rFonts w:ascii="Arial" w:hAnsi="Arial" w:cs="Arial"/>
                <w:spacing w:val="-3"/>
                <w:sz w:val="22"/>
                <w:szCs w:val="22"/>
              </w:rPr>
            </w:pPr>
            <w:r>
              <w:rPr>
                <w:rFonts w:cs="Arial" w:ascii="Arial" w:hAnsi="Arial"/>
                <w:spacing w:val="-3"/>
                <w:sz w:val="22"/>
                <w:szCs w:val="22"/>
              </w:rPr>
              <w:t>Diritto di rettifica (art. 16)</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360" w:leader="none"/>
                <w:tab w:val="left" w:pos="648" w:leader="none"/>
                <w:tab w:val="left" w:pos="2376" w:leader="none"/>
                <w:tab w:val="left" w:pos="2592" w:leader="none"/>
                <w:tab w:val="left" w:pos="4752" w:leader="none"/>
                <w:tab w:val="right" w:pos="5904" w:leader="none"/>
              </w:tabs>
              <w:overflowPunct w:val="false"/>
              <w:ind w:left="72" w:hanging="0"/>
              <w:textAlignment w:val="baseline"/>
              <w:rPr>
                <w:rFonts w:ascii="Arial" w:hAnsi="Arial" w:cs="Arial"/>
                <w:spacing w:val="-3"/>
              </w:rPr>
            </w:pPr>
            <w:r>
              <w:rPr>
                <w:rFonts w:cs="Arial" w:ascii="Arial" w:hAnsi="Arial"/>
              </w:rPr>
              <w:t>Lei ha il diritto di chiedere la rettifica dei dati personali</w:t>
              <w:tab/>
              <w:t xml:space="preserve"> inesatti che la </w:t>
            </w:r>
            <w:r>
              <w:rPr>
                <w:rFonts w:cs="Arial" w:ascii="Arial" w:hAnsi="Arial"/>
                <w:spacing w:val="-3"/>
              </w:rPr>
              <w:t>riguardano e di ottenere l'integrazione dei dati personali incompleti.</w:t>
            </w:r>
          </w:p>
        </w:tc>
      </w:tr>
      <w:tr>
        <w:trPr>
          <w:trHeight w:val="1462"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302"/>
              <w:ind w:left="120" w:hanging="0"/>
              <w:textAlignment w:val="baseline"/>
              <w:rPr>
                <w:rFonts w:ascii="Arial" w:hAnsi="Arial" w:cs="Arial"/>
                <w:spacing w:val="-3"/>
                <w:sz w:val="22"/>
                <w:szCs w:val="22"/>
              </w:rPr>
            </w:pPr>
            <w:r>
              <w:rPr>
                <w:rFonts w:cs="Arial" w:ascii="Arial" w:hAnsi="Arial"/>
                <w:spacing w:val="-3"/>
                <w:sz w:val="22"/>
                <w:szCs w:val="22"/>
              </w:rPr>
              <w:t>Diritto all’oblio (art. 17)</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48"/>
              <w:ind w:left="108" w:right="108" w:hanging="0"/>
              <w:jc w:val="both"/>
              <w:textAlignment w:val="baseline"/>
              <w:rPr>
                <w:rFonts w:ascii="Arial" w:hAnsi="Arial" w:cs="Arial"/>
                <w:spacing w:val="-4"/>
              </w:rPr>
            </w:pPr>
            <w:r>
              <w:rPr>
                <w:rFonts w:cs="Arial" w:ascii="Arial" w:hAnsi="Arial"/>
                <w:spacing w:val="-4"/>
              </w:rPr>
              <w:t xml:space="preserve">Lei ha il diritto di ottenere dal titolare del trattamento la cancellazione dei dati personali che la riguardano se i dati personali non sono più necessari rispetto </w:t>
            </w:r>
            <w:r>
              <w:rPr>
                <w:rFonts w:cs="Arial" w:ascii="Arial" w:hAnsi="Arial"/>
                <w:spacing w:val="-3"/>
              </w:rPr>
              <w:t xml:space="preserve">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servizi web a minori senza consenso. </w:t>
            </w:r>
          </w:p>
        </w:tc>
      </w:tr>
      <w:tr>
        <w:trPr>
          <w:trHeight w:val="1945"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right" w:pos="2160" w:leader="none"/>
              </w:tabs>
              <w:overflowPunct w:val="false"/>
              <w:ind w:left="72" w:hanging="0"/>
              <w:textAlignment w:val="baseline"/>
              <w:rPr>
                <w:rFonts w:ascii="Arial" w:hAnsi="Arial" w:cs="Arial"/>
                <w:spacing w:val="-4"/>
                <w:sz w:val="22"/>
                <w:szCs w:val="22"/>
              </w:rPr>
            </w:pPr>
            <w:r>
              <w:rPr>
                <w:rFonts w:cs="Arial" w:ascii="Arial" w:hAnsi="Arial"/>
                <w:sz w:val="22"/>
                <w:szCs w:val="22"/>
              </w:rPr>
              <w:t xml:space="preserve">Diritto alla limitazione del </w:t>
            </w:r>
            <w:r>
              <w:rPr>
                <w:rFonts w:cs="Arial" w:ascii="Arial" w:hAnsi="Arial"/>
                <w:spacing w:val="-4"/>
                <w:sz w:val="22"/>
                <w:szCs w:val="22"/>
              </w:rPr>
              <w:t>trattamento (art. 18)</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41"/>
              <w:ind w:left="108" w:right="108" w:hanging="0"/>
              <w:jc w:val="both"/>
              <w:textAlignment w:val="baseline"/>
              <w:rPr>
                <w:rFonts w:ascii="Arial" w:hAnsi="Arial" w:cs="Arial"/>
              </w:rPr>
            </w:pPr>
            <w:r>
              <w:rPr>
                <w:rFonts w:cs="Arial" w:ascii="Arial" w:hAnsi="Arial"/>
              </w:rPr>
              <w:t xml:space="preserve">Lei ha il diritto di ottenere dal titolare del trattamento la limitazione del trattamento: quando ha contestato l'esattezza dei dati personali (per il periodo necessario al titolare del trattamento per verificare l'esattezza di tali dati personali); </w:t>
            </w:r>
            <w:r>
              <w:rPr>
                <w:rFonts w:cs="Arial" w:ascii="Arial" w:hAnsi="Arial"/>
                <w:bCs/>
              </w:rPr>
              <w:t>se il trattamento sia illecito e Lei chiede invece che ne sia limitato l'utilizzo; se i dati le sono necessari per l'accertamento, l'esercizio o la difesa di un diritto in sede giudiziaria, mentre al Titolare non sono più necessari; se Lei  si è opposto al trattamento ai sensi dell'articolo 21, paragrafo 1, in attesa della verifica in merito all'eventuale prevalenza dei motivi legittimi del titolare del trattamento.</w:t>
            </w:r>
          </w:p>
        </w:tc>
      </w:tr>
      <w:tr>
        <w:trPr>
          <w:trHeight w:val="1411"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1310"/>
              <w:ind w:left="108" w:hanging="0"/>
              <w:textAlignment w:val="baseline"/>
              <w:rPr>
                <w:rFonts w:ascii="Arial" w:hAnsi="Arial" w:cs="Arial"/>
                <w:sz w:val="22"/>
                <w:szCs w:val="22"/>
              </w:rPr>
            </w:pPr>
            <w:r>
              <w:rPr>
                <w:rFonts w:cs="Arial" w:ascii="Arial" w:hAnsi="Arial"/>
                <w:sz w:val="22"/>
                <w:szCs w:val="22"/>
              </w:rPr>
              <w:t>Diritto alla portabilità (art. 20)</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51"/>
              <w:ind w:left="108" w:right="108" w:hanging="0"/>
              <w:jc w:val="both"/>
              <w:textAlignment w:val="baseline"/>
              <w:rPr>
                <w:rFonts w:ascii="Arial" w:hAnsi="Arial" w:cs="Arial"/>
                <w:spacing w:val="-3"/>
              </w:rPr>
            </w:pPr>
            <w:r>
              <w:rPr>
                <w:rFonts w:cs="Arial" w:ascii="Arial" w:hAnsi="Arial"/>
                <w:spacing w:val="-3"/>
              </w:rPr>
              <w:t>Lei ha il diritto di ricevere in un formato strutturato, di uso comune e leggibile da dispositivo automatico i dati personali che la riguardano fornitici e ha il diritto di trasmetterli a un altro se il trattamento si sia basato sul consenso, sul contratto e se il trattamento sia effettuato con mezzi automatizzati, salvo che il trattamento necessario per l'esecuzione di un compito di interesse pubblico o connesso all'esercizio di pubblici poteri e che tale trasmissione non leda il diritto di terzo.</w:t>
            </w:r>
          </w:p>
        </w:tc>
      </w:tr>
      <w:tr>
        <w:trPr>
          <w:trHeight w:val="1718"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1310"/>
              <w:ind w:left="108" w:hanging="0"/>
              <w:textAlignment w:val="baseline"/>
              <w:rPr>
                <w:rFonts w:ascii="Arial" w:hAnsi="Arial" w:cs="Arial"/>
                <w:bCs/>
                <w:sz w:val="22"/>
                <w:szCs w:val="22"/>
              </w:rPr>
            </w:pPr>
            <w:r>
              <w:rPr>
                <w:rFonts w:cs="Arial" w:ascii="Arial" w:hAnsi="Arial"/>
                <w:bCs/>
                <w:sz w:val="22"/>
                <w:szCs w:val="22"/>
              </w:rPr>
              <w:t>Diritto di opposizione (art. 21)</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51"/>
              <w:ind w:left="108" w:right="108" w:hanging="0"/>
              <w:jc w:val="both"/>
              <w:textAlignment w:val="baseline"/>
              <w:rPr>
                <w:rFonts w:ascii="Arial" w:hAnsi="Arial" w:cs="Arial"/>
                <w:spacing w:val="-3"/>
              </w:rPr>
            </w:pPr>
            <w:r>
              <w:rPr>
                <w:rFonts w:cs="Arial" w:ascii="Arial" w:hAnsi="Arial"/>
                <w:bCs/>
                <w:spacing w:val="-3"/>
              </w:rPr>
              <w:t>Lei ha il diritto di opporsi in qualsiasi momento, per motivi connessi alla sua situazione particolare, al trattamento dei dati personali che la riguardano ai sensi dell'articolo 6, paragrafo 1, lettere e) o f), compresa la profilazione sulla base di tali disposizioni. Il titolare del trattamento si astiene dal trattare ulteriormente i dati personali salvo che dimostri l'esistenza di motivi legittimi cogenti per procedere al trattamento che prevalgono sugli interessi, sui diritti e sulle libertà dell'interessato oppure per l'accertamento, l'esercizio o la difesa di un diritto in sede giudiziaria.</w:t>
            </w:r>
          </w:p>
        </w:tc>
      </w:tr>
      <w:tr>
        <w:trPr>
          <w:trHeight w:val="849" w:hRule="exact"/>
        </w:trPr>
        <w:tc>
          <w:tcPr>
            <w:tcW w:w="21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1310"/>
              <w:ind w:left="108" w:hanging="0"/>
              <w:textAlignment w:val="baseline"/>
              <w:rPr>
                <w:rFonts w:ascii="Arial" w:hAnsi="Arial" w:cs="Arial"/>
                <w:bCs/>
                <w:sz w:val="22"/>
                <w:szCs w:val="22"/>
              </w:rPr>
            </w:pPr>
            <w:r>
              <w:rPr>
                <w:rFonts w:cs="Arial" w:ascii="Arial" w:hAnsi="Arial"/>
                <w:bCs/>
                <w:sz w:val="22"/>
                <w:szCs w:val="22"/>
              </w:rPr>
              <w:t>Diritto di revoca del consenso (art. 7, par. 3), ove prestato</w:t>
            </w:r>
          </w:p>
        </w:tc>
        <w:tc>
          <w:tcPr>
            <w:tcW w:w="793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overflowPunct w:val="false"/>
              <w:spacing w:before="0" w:after="51"/>
              <w:ind w:left="108" w:right="108" w:hanging="0"/>
              <w:jc w:val="both"/>
              <w:textAlignment w:val="baseline"/>
              <w:rPr>
                <w:rFonts w:ascii="Arial" w:hAnsi="Arial" w:cs="Arial"/>
                <w:bCs/>
                <w:spacing w:val="-3"/>
              </w:rPr>
            </w:pPr>
            <w:r>
              <w:rPr>
                <w:rFonts w:cs="Arial" w:ascii="Arial" w:hAnsi="Arial"/>
                <w:bCs/>
                <w:spacing w:val="-3"/>
              </w:rPr>
              <w:t>Lei ha il diritto di revocare il proprio consenso in qualsiasi momento. La revoca del consenso non pregiudica la liceità del trattamento basata sul consenso prima della revoca. Il consenso è revocato con la stessa facilità con cui è accordato.</w:t>
            </w:r>
          </w:p>
        </w:tc>
      </w:tr>
    </w:tbl>
    <w:p>
      <w:pPr>
        <w:pStyle w:val="Normal"/>
        <w:spacing w:lineRule="auto" w:line="252"/>
        <w:jc w:val="both"/>
        <w:rPr>
          <w:rFonts w:ascii="Arial" w:hAnsi="Arial" w:cs="Arial"/>
          <w:sz w:val="22"/>
          <w:szCs w:val="22"/>
        </w:rPr>
      </w:pPr>
      <w:r>
        <w:rPr>
          <w:rFonts w:cs="Arial" w:ascii="Arial" w:hAnsi="Arial"/>
          <w:sz w:val="22"/>
          <w:szCs w:val="22"/>
        </w:rPr>
      </w:r>
    </w:p>
    <w:p>
      <w:pPr>
        <w:pStyle w:val="ListParagraph"/>
        <w:spacing w:lineRule="auto" w:line="252"/>
        <w:jc w:val="both"/>
        <w:rPr>
          <w:rFonts w:ascii="Arial" w:hAnsi="Arial" w:cs="Arial"/>
          <w:sz w:val="22"/>
          <w:szCs w:val="22"/>
        </w:rPr>
      </w:pPr>
      <w:r>
        <w:rPr>
          <w:rFonts w:cs="Arial" w:ascii="Arial" w:hAnsi="Arial"/>
          <w:sz w:val="22"/>
          <w:szCs w:val="22"/>
        </w:rPr>
        <w:t>È fatta salva la possibilità di proporre reclamo all’Autorità di controllo ai sensi dell’art. 77, RGPD, o ricorso all’autorità giudiziaria ai sensi dell’art. 140-bis del Codice in materia di protezione dati personali, così come modificato dal D.Lgs. n. 101/2018.</w:t>
      </w:r>
    </w:p>
    <w:p>
      <w:pPr>
        <w:pStyle w:val="ListParagraph"/>
        <w:spacing w:lineRule="auto" w:line="252"/>
        <w:jc w:val="both"/>
        <w:rPr>
          <w:sz w:val="22"/>
          <w:szCs w:val="22"/>
        </w:rPr>
      </w:pPr>
      <w:r>
        <w:rPr>
          <w:sz w:val="22"/>
          <w:szCs w:val="22"/>
        </w:rPr>
      </w:r>
    </w:p>
    <w:p>
      <w:pPr>
        <w:pStyle w:val="Normal"/>
        <w:spacing w:lineRule="auto" w:line="252"/>
        <w:ind w:left="360" w:firstLine="348"/>
        <w:jc w:val="both"/>
        <w:rPr>
          <w:rFonts w:ascii="Arial" w:hAnsi="Arial" w:cs="Arial"/>
          <w:b/>
          <w:b/>
          <w:bCs/>
          <w:sz w:val="22"/>
          <w:szCs w:val="22"/>
        </w:rPr>
      </w:pPr>
      <w:r>
        <w:rPr>
          <w:rFonts w:cs="Arial" w:ascii="Arial" w:hAnsi="Arial"/>
          <w:b/>
          <w:bCs/>
          <w:sz w:val="22"/>
          <w:szCs w:val="22"/>
        </w:rPr>
      </w:r>
    </w:p>
    <w:p>
      <w:pPr>
        <w:pStyle w:val="Normal"/>
        <w:spacing w:lineRule="auto" w:line="252"/>
        <w:ind w:left="360" w:firstLine="348"/>
        <w:jc w:val="both"/>
        <w:rPr>
          <w:rFonts w:ascii="Arial" w:hAnsi="Arial" w:cs="Arial"/>
          <w:b/>
          <w:b/>
          <w:bCs/>
          <w:sz w:val="22"/>
          <w:szCs w:val="22"/>
        </w:rPr>
      </w:pPr>
      <w:r>
        <w:rPr>
          <w:rFonts w:cs="Arial" w:ascii="Arial" w:hAnsi="Arial"/>
          <w:b/>
          <w:bCs/>
          <w:sz w:val="22"/>
          <w:szCs w:val="22"/>
        </w:rPr>
      </w:r>
    </w:p>
    <w:p>
      <w:pPr>
        <w:pStyle w:val="Normal"/>
        <w:spacing w:lineRule="auto" w:line="252"/>
        <w:ind w:left="360" w:firstLine="348"/>
        <w:jc w:val="both"/>
        <w:rPr>
          <w:rFonts w:ascii="Arial" w:hAnsi="Arial" w:cs="Arial"/>
          <w:b/>
          <w:b/>
          <w:bCs/>
          <w:sz w:val="22"/>
          <w:szCs w:val="22"/>
        </w:rPr>
      </w:pPr>
      <w:r>
        <w:rPr>
          <w:rFonts w:cs="Arial" w:ascii="Arial" w:hAnsi="Arial"/>
          <w:b/>
          <w:bCs/>
          <w:sz w:val="22"/>
          <w:szCs w:val="22"/>
        </w:rPr>
        <w:t>9. Trattamenti ulteriori</w:t>
      </w:r>
    </w:p>
    <w:p>
      <w:pPr>
        <w:pStyle w:val="ListParagraph"/>
        <w:spacing w:lineRule="auto" w:line="252"/>
        <w:jc w:val="both"/>
        <w:rPr>
          <w:rFonts w:ascii="Arial" w:hAnsi="Arial" w:cs="Arial"/>
          <w:sz w:val="22"/>
          <w:szCs w:val="22"/>
        </w:rPr>
      </w:pPr>
      <w:r>
        <w:rPr>
          <w:rFonts w:cs="Arial" w:ascii="Arial" w:hAnsi="Arial"/>
          <w:sz w:val="22"/>
          <w:szCs w:val="22"/>
        </w:rPr>
        <w:t>Qualora la Farmacia Comunale dovesse procedere a trattamenti di dati personali che comportano la necessità di dare ulteriori informazioni all’interessato, verrà di volta in volta data informativa ad hoc.</w:t>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Fonts w:cs="Arial" w:ascii="Arial" w:hAnsi="Arial"/>
          <w:b/>
          <w:bCs/>
          <w:sz w:val="24"/>
          <w:szCs w:val="24"/>
        </w:rPr>
      </w:r>
    </w:p>
    <w:p>
      <w:pPr>
        <w:pStyle w:val="ListParagraph"/>
        <w:spacing w:lineRule="auto" w:line="252"/>
        <w:jc w:val="center"/>
        <w:rPr>
          <w:rFonts w:ascii="Arial" w:hAnsi="Arial" w:cs="Arial"/>
          <w:b/>
          <w:b/>
          <w:bCs/>
          <w:sz w:val="24"/>
          <w:szCs w:val="24"/>
        </w:rPr>
      </w:pPr>
      <w:r>
        <w:rPr/>
      </w:r>
    </w:p>
    <w:sectPr>
      <w:type w:val="nextPage"/>
      <w:pgSz w:w="12240" w:h="15840"/>
      <w:pgMar w:left="720" w:right="720" w:gutter="0" w:header="0" w:top="720" w:footer="0" w:bottom="720"/>
      <w:pgNumType w:fmt="decimal"/>
      <w:formProt w:val="false"/>
      <w:textDirection w:val="lrTb"/>
      <w:docGrid w:type="default" w:linePitch="272"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488c"/>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4">
    <w:name w:val="Heading 4"/>
    <w:basedOn w:val="Normal"/>
    <w:link w:val="Titolo4Carattere"/>
    <w:uiPriority w:val="9"/>
    <w:qFormat/>
    <w:rsid w:val="00f668d4"/>
    <w:pPr>
      <w:spacing w:before="280" w:after="280"/>
      <w:outlineLvl w:val="3"/>
    </w:pPr>
    <w:rPr>
      <w:b/>
      <w:bCs/>
      <w:sz w:val="24"/>
      <w:szCs w:val="24"/>
    </w:rPr>
  </w:style>
  <w:style w:type="character" w:styleId="DefaultParagraphFont" w:default="1">
    <w:name w:val="Default Paragraph Font"/>
    <w:uiPriority w:val="1"/>
    <w:unhideWhenUsed/>
    <w:qFormat/>
    <w:rPr/>
  </w:style>
  <w:style w:type="character" w:styleId="CollegamentoInternet">
    <w:name w:val="Hyperlink"/>
    <w:basedOn w:val="DefaultParagraphFont"/>
    <w:uiPriority w:val="99"/>
    <w:unhideWhenUsed/>
    <w:rsid w:val="00a81a8e"/>
    <w:rPr>
      <w:color w:val="0000FF" w:themeColor="hyperlink"/>
      <w:u w:val="single"/>
      <w:lang w:val="zxx" w:eastAsia="zxx" w:bidi="zxx"/>
    </w:rPr>
  </w:style>
  <w:style w:type="character" w:styleId="Strong">
    <w:name w:val="Strong"/>
    <w:basedOn w:val="DefaultParagraphFont"/>
    <w:uiPriority w:val="22"/>
    <w:qFormat/>
    <w:rsid w:val="00692fbb"/>
    <w:rPr>
      <w:b/>
      <w:bCs/>
    </w:rPr>
  </w:style>
  <w:style w:type="character" w:styleId="Titolo4Carattere" w:customStyle="1">
    <w:name w:val="Titolo 4 Carattere"/>
    <w:basedOn w:val="DefaultParagraphFont"/>
    <w:uiPriority w:val="9"/>
    <w:qFormat/>
    <w:rsid w:val="00f668d4"/>
    <w:rPr>
      <w:b/>
      <w:bCs/>
      <w:sz w:val="24"/>
      <w:szCs w:val="24"/>
    </w:rPr>
  </w:style>
  <w:style w:type="character" w:styleId="Enfasi">
    <w:name w:val="Emphasis"/>
    <w:basedOn w:val="DefaultParagraphFont"/>
    <w:uiPriority w:val="20"/>
    <w:qFormat/>
    <w:rsid w:val="00f668d4"/>
    <w:rPr>
      <w:i/>
      <w:iCs/>
    </w:rPr>
  </w:style>
  <w:style w:type="character" w:styleId="TestofumettoCarattere" w:customStyle="1">
    <w:name w:val="Testo fumetto Carattere"/>
    <w:basedOn w:val="DefaultParagraphFont"/>
    <w:uiPriority w:val="99"/>
    <w:semiHidden/>
    <w:qFormat/>
    <w:rsid w:val="00c64bea"/>
    <w:rPr>
      <w:rFonts w:ascii="Segoe UI" w:hAnsi="Segoe UI" w:cs="Segoe UI"/>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Web">
    <w:name w:val="Normal (Web)"/>
    <w:basedOn w:val="Normal"/>
    <w:uiPriority w:val="99"/>
    <w:unhideWhenUsed/>
    <w:qFormat/>
    <w:rsid w:val="003958c5"/>
    <w:pPr>
      <w:spacing w:before="280" w:after="119"/>
    </w:pPr>
    <w:rPr>
      <w:color w:val="000000"/>
      <w:sz w:val="24"/>
      <w:szCs w:val="24"/>
    </w:rPr>
  </w:style>
  <w:style w:type="paragraph" w:styleId="ListParagraph">
    <w:name w:val="List Paragraph"/>
    <w:basedOn w:val="Normal"/>
    <w:uiPriority w:val="34"/>
    <w:qFormat/>
    <w:rsid w:val="00223f77"/>
    <w:pPr>
      <w:spacing w:before="0" w:after="0"/>
      <w:ind w:left="720" w:hanging="0"/>
      <w:contextualSpacing/>
    </w:pPr>
    <w:rPr/>
  </w:style>
  <w:style w:type="paragraph" w:styleId="Default" w:customStyle="1">
    <w:name w:val="Default"/>
    <w:qFormat/>
    <w:rsid w:val="007230a7"/>
    <w:pPr>
      <w:widowControl/>
      <w:suppressAutoHyphens w:val="true"/>
      <w:bidi w:val="0"/>
      <w:spacing w:before="0" w:after="0"/>
      <w:jc w:val="left"/>
    </w:pPr>
    <w:rPr>
      <w:rFonts w:ascii="Calibri" w:hAnsi="Calibri" w:eastAsia="" w:cs="Calibri" w:eastAsiaTheme="minorEastAsia"/>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c64bea"/>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ac641d"/>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Application>LibreOffice/7.4.3.2$Windows_X86_64 LibreOffice_project/1048a8393ae2eeec98dff31b5c133c5f1d08b890</Application>
  <AppVersion>15.0000</AppVersion>
  <Pages>5</Pages>
  <Words>2006</Words>
  <Characters>11668</Characters>
  <CharactersWithSpaces>13584</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2019-01-22T17:47:00Z</dcterms:created>
  <dc:creator>DPO SI.net</dc:creator>
  <dc:description/>
  <dc:language>it-IT</dc:language>
  <cp:lastModifiedBy/>
  <cp:lastPrinted>2023-10-19T13:17:00Z</cp:lastPrinted>
  <dcterms:modified xsi:type="dcterms:W3CDTF">2024-02-22T16:11:49Z</dcterms:modified>
  <cp:revision>43</cp:revision>
  <dc:subject/>
  <dc:title>INFORMATIVA TIPO PER SERVIZI ASSISTENZA DOMICILIARE</dc:title>
</cp:coreProperties>
</file>

<file path=docProps/custom.xml><?xml version="1.0" encoding="utf-8"?>
<Properties xmlns="http://schemas.openxmlformats.org/officeDocument/2006/custom-properties" xmlns:vt="http://schemas.openxmlformats.org/officeDocument/2006/docPropsVTypes"/>
</file>